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3EBE" w14:textId="1C966CCA" w:rsidR="008E4B58" w:rsidRPr="008E4B58" w:rsidRDefault="008E4B58" w:rsidP="008E4B58">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8E4B58">
        <w:rPr>
          <w:rFonts w:ascii="Lato" w:eastAsia="Times New Roman" w:hAnsi="Lato" w:cs="Times New Roman"/>
          <w:color w:val="CC3300"/>
          <w:kern w:val="36"/>
          <w:sz w:val="36"/>
          <w:szCs w:val="36"/>
          <w:lang w:eastAsia="fr-BE"/>
          <w14:ligatures w14:val="none"/>
        </w:rPr>
        <w:t>Métaux précieux</w:t>
      </w:r>
      <w:r>
        <w:rPr>
          <w:rFonts w:ascii="Lato" w:eastAsia="Times New Roman" w:hAnsi="Lato" w:cs="Times New Roman"/>
          <w:color w:val="CC3300"/>
          <w:kern w:val="36"/>
          <w:sz w:val="36"/>
          <w:szCs w:val="36"/>
          <w:lang w:eastAsia="fr-BE"/>
          <w14:ligatures w14:val="none"/>
        </w:rPr>
        <w:t>,</w:t>
      </w:r>
      <w:r w:rsidRPr="008E4B58">
        <w:rPr>
          <w:rFonts w:ascii="Lato" w:eastAsia="Times New Roman" w:hAnsi="Lato" w:cs="Times New Roman"/>
          <w:color w:val="CC3300"/>
          <w:kern w:val="36"/>
          <w:sz w:val="36"/>
          <w:szCs w:val="36"/>
          <w:lang w:eastAsia="fr-BE"/>
          <w14:ligatures w14:val="none"/>
        </w:rPr>
        <w:t xml:space="preserve"> années fastes en perspectives</w:t>
      </w:r>
    </w:p>
    <w:p w14:paraId="781C0B0F" w14:textId="77777777" w:rsidR="008E4B58" w:rsidRDefault="008E4B58" w:rsidP="008E4B58">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68AE240C" w14:textId="63E58B40"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b/>
          <w:bCs/>
          <w:color w:val="000000"/>
          <w:kern w:val="0"/>
          <w:sz w:val="23"/>
          <w:szCs w:val="23"/>
          <w:lang w:eastAsia="fr-BE"/>
          <w14:ligatures w14:val="none"/>
        </w:rPr>
        <w:t>L’or devrait continuer à s’apprécier en 2026, selon les analystes sondés par Reuters, qui anticipent une moyenne annuelle supérieure à 4 000 $/once. Le métal jaune reste porté par les craintes concernant l’économie et la géopolitique.</w:t>
      </w:r>
    </w:p>
    <w:p w14:paraId="7BA9C4C3"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 </w:t>
      </w:r>
    </w:p>
    <w:p w14:paraId="3AEE55F7"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Les analystes interrogés par Reuters prévoient une moyenne de 3 400 $/once pour l’or en 2025, ceci comparé à la valeur de 3 220 $/t avancée lors du sondage de juillet. Pour 2026, ils tablent sur une moyenne de 4 275 $/once, une valeur en nette hausse comparé à celle de 3 400 $/once établie en juillet.</w:t>
      </w:r>
    </w:p>
    <w:p w14:paraId="6464B893"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L’or a volé de record en record cette année, franchissant pour la première fois de son histoire la barre des 4 000 $/once. Il affiche un gain de 54 % sur l’année, et devrait enregistrer sa plus forte progression depuis la crise pétrolière de 1979, année où il s’était envolé de 126,6 %. Le cours du métal jaune enregistre pour l’heure une moyenne de 3 281 $/once cette année. « </w:t>
      </w:r>
      <w:r w:rsidRPr="008E4B58">
        <w:rPr>
          <w:rFonts w:ascii="Lato" w:eastAsia="Times New Roman" w:hAnsi="Lato" w:cs="Times New Roman"/>
          <w:i/>
          <w:iCs/>
          <w:color w:val="000000"/>
          <w:kern w:val="0"/>
          <w:sz w:val="23"/>
          <w:szCs w:val="23"/>
          <w:lang w:eastAsia="fr-BE"/>
          <w14:ligatures w14:val="none"/>
        </w:rPr>
        <w:t xml:space="preserve">La progression des cours de l’or cette année est au-delà du </w:t>
      </w:r>
      <w:proofErr w:type="spellStart"/>
      <w:r w:rsidRPr="008E4B58">
        <w:rPr>
          <w:rFonts w:ascii="Lato" w:eastAsia="Times New Roman" w:hAnsi="Lato" w:cs="Times New Roman"/>
          <w:i/>
          <w:iCs/>
          <w:color w:val="000000"/>
          <w:kern w:val="0"/>
          <w:sz w:val="23"/>
          <w:szCs w:val="23"/>
          <w:lang w:eastAsia="fr-BE"/>
          <w14:ligatures w14:val="none"/>
        </w:rPr>
        <w:t>rally</w:t>
      </w:r>
      <w:proofErr w:type="spellEnd"/>
      <w:r w:rsidRPr="008E4B58">
        <w:rPr>
          <w:rFonts w:ascii="Lato" w:eastAsia="Times New Roman" w:hAnsi="Lato" w:cs="Times New Roman"/>
          <w:i/>
          <w:iCs/>
          <w:color w:val="000000"/>
          <w:kern w:val="0"/>
          <w:sz w:val="23"/>
          <w:szCs w:val="23"/>
          <w:lang w:eastAsia="fr-BE"/>
          <w14:ligatures w14:val="none"/>
        </w:rPr>
        <w:t>. Elle traduit l’acceptation d’une autre réalité. L’or ne réagit pas à un contexte de crainte à court terme mais davantage à une défiance vis-à-vis des politiques, des devises, et des systèmes financiers en eux-mêmes</w:t>
      </w:r>
      <w:r w:rsidRPr="008E4B58">
        <w:rPr>
          <w:rFonts w:ascii="Lato" w:eastAsia="Times New Roman" w:hAnsi="Lato" w:cs="Times New Roman"/>
          <w:color w:val="000000"/>
          <w:kern w:val="0"/>
          <w:sz w:val="23"/>
          <w:szCs w:val="23"/>
          <w:lang w:eastAsia="fr-BE"/>
          <w14:ligatures w14:val="none"/>
        </w:rPr>
        <w:t xml:space="preserve"> », explique Davis Russel, pour </w:t>
      </w:r>
      <w:proofErr w:type="spellStart"/>
      <w:r w:rsidRPr="008E4B58">
        <w:rPr>
          <w:rFonts w:ascii="Lato" w:eastAsia="Times New Roman" w:hAnsi="Lato" w:cs="Times New Roman"/>
          <w:color w:val="000000"/>
          <w:kern w:val="0"/>
          <w:sz w:val="23"/>
          <w:szCs w:val="23"/>
          <w:lang w:eastAsia="fr-BE"/>
          <w14:ligatures w14:val="none"/>
        </w:rPr>
        <w:t>GoldCore</w:t>
      </w:r>
      <w:proofErr w:type="spellEnd"/>
      <w:r w:rsidRPr="008E4B58">
        <w:rPr>
          <w:rFonts w:ascii="Lato" w:eastAsia="Times New Roman" w:hAnsi="Lato" w:cs="Times New Roman"/>
          <w:color w:val="000000"/>
          <w:kern w:val="0"/>
          <w:sz w:val="23"/>
          <w:szCs w:val="23"/>
          <w:lang w:eastAsia="fr-BE"/>
          <w14:ligatures w14:val="none"/>
        </w:rPr>
        <w:t>.</w:t>
      </w:r>
    </w:p>
    <w:p w14:paraId="0709C310"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L’or, valeur refuge par excellence, s’est apprécié sur fond d’inquiétudes géopolitiques, de tensions commerciales, de fin de domination du dollar, d’achats des banques centrales et d’augmentation des encours sur les ETF. La perspective de baisses de taux d’intérêt aux Etats-Unis a également contribué à faire progresser les cours.</w:t>
      </w:r>
    </w:p>
    <w:p w14:paraId="1C8CE042"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Si les analystes prévoient une progression des cours de l’or en 2026, elle sera néanmoins plus modérée. Le métal jaune sera davantage considéré comme un actif principal du portefeuille que comme un instrument spéculatif, estiment les analystes.</w:t>
      </w:r>
    </w:p>
    <w:p w14:paraId="6383F43B"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 </w:t>
      </w:r>
    </w:p>
    <w:p w14:paraId="583D545F"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b/>
          <w:bCs/>
          <w:color w:val="A52A2A"/>
          <w:kern w:val="0"/>
          <w:sz w:val="23"/>
          <w:szCs w:val="23"/>
          <w:lang w:eastAsia="fr-BE"/>
          <w14:ligatures w14:val="none"/>
        </w:rPr>
        <w:t>Argent : il profite de sa double casquette</w:t>
      </w:r>
    </w:p>
    <w:p w14:paraId="43DAB1A7"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Les analystes ont également revu à la hausse leurs prévisions concernant l’argent, qu’ils anticipent à 38,45 $/once en 2025, et à 50 $/once en 2026 - ceci comparé à 34,52 $/once et 38 $/once précédemment.</w:t>
      </w:r>
    </w:p>
    <w:p w14:paraId="37DE3826"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L’argent est à la fois une valeur refuge et un métal industriel. Il s’est pour l’heure apprécié de 65 % cette année et a atteint un record historique à 54,47 $/once. Le métal gris est soutenu par un déficit d’offre et une demande robuste de secteurs tels que l’énergie solaire, les véhicules électriques et les centres de données liés à l’IA. « </w:t>
      </w:r>
      <w:r w:rsidRPr="008E4B58">
        <w:rPr>
          <w:rFonts w:ascii="Lato" w:eastAsia="Times New Roman" w:hAnsi="Lato" w:cs="Times New Roman"/>
          <w:i/>
          <w:iCs/>
          <w:color w:val="000000"/>
          <w:kern w:val="0"/>
          <w:sz w:val="23"/>
          <w:szCs w:val="23"/>
          <w:lang w:eastAsia="fr-BE"/>
          <w14:ligatures w14:val="none"/>
        </w:rPr>
        <w:t>Le marché de l’argent est déficitaire et devrait le rester en 2026. Le métal bénéficie en outre de sa double casquette de valeur refuge et de métal industriel </w:t>
      </w:r>
      <w:r w:rsidRPr="008E4B58">
        <w:rPr>
          <w:rFonts w:ascii="Lato" w:eastAsia="Times New Roman" w:hAnsi="Lato" w:cs="Times New Roman"/>
          <w:color w:val="000000"/>
          <w:kern w:val="0"/>
          <w:sz w:val="23"/>
          <w:szCs w:val="23"/>
          <w:lang w:eastAsia="fr-BE"/>
          <w14:ligatures w14:val="none"/>
        </w:rPr>
        <w:t xml:space="preserve">», indique Zain </w:t>
      </w:r>
      <w:proofErr w:type="spellStart"/>
      <w:r w:rsidRPr="008E4B58">
        <w:rPr>
          <w:rFonts w:ascii="Lato" w:eastAsia="Times New Roman" w:hAnsi="Lato" w:cs="Times New Roman"/>
          <w:color w:val="000000"/>
          <w:kern w:val="0"/>
          <w:sz w:val="23"/>
          <w:szCs w:val="23"/>
          <w:lang w:eastAsia="fr-BE"/>
          <w14:ligatures w14:val="none"/>
        </w:rPr>
        <w:t>Vawda</w:t>
      </w:r>
      <w:proofErr w:type="spellEnd"/>
      <w:r w:rsidRPr="008E4B58">
        <w:rPr>
          <w:rFonts w:ascii="Lato" w:eastAsia="Times New Roman" w:hAnsi="Lato" w:cs="Times New Roman"/>
          <w:color w:val="000000"/>
          <w:kern w:val="0"/>
          <w:sz w:val="23"/>
          <w:szCs w:val="23"/>
          <w:lang w:eastAsia="fr-BE"/>
          <w14:ligatures w14:val="none"/>
        </w:rPr>
        <w:t xml:space="preserve">, pour </w:t>
      </w:r>
      <w:proofErr w:type="spellStart"/>
      <w:r w:rsidRPr="008E4B58">
        <w:rPr>
          <w:rFonts w:ascii="Lato" w:eastAsia="Times New Roman" w:hAnsi="Lato" w:cs="Times New Roman"/>
          <w:color w:val="000000"/>
          <w:kern w:val="0"/>
          <w:sz w:val="23"/>
          <w:szCs w:val="23"/>
          <w:lang w:eastAsia="fr-BE"/>
          <w14:ligatures w14:val="none"/>
        </w:rPr>
        <w:t>Oanda</w:t>
      </w:r>
      <w:proofErr w:type="spellEnd"/>
      <w:r w:rsidRPr="008E4B58">
        <w:rPr>
          <w:rFonts w:ascii="Lato" w:eastAsia="Times New Roman" w:hAnsi="Lato" w:cs="Times New Roman"/>
          <w:color w:val="000000"/>
          <w:kern w:val="0"/>
          <w:sz w:val="23"/>
          <w:szCs w:val="23"/>
          <w:lang w:eastAsia="fr-BE"/>
          <w14:ligatures w14:val="none"/>
        </w:rPr>
        <w:t>. L’argent continuera de bénéficier de la robustesse de la demande industrielle et de son statut de valeur refuge moins onéreuse que l’or.</w:t>
      </w:r>
    </w:p>
    <w:p w14:paraId="631CD388"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 </w:t>
      </w:r>
    </w:p>
    <w:p w14:paraId="63EBFE6B"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b/>
          <w:bCs/>
          <w:color w:val="A52A2A"/>
          <w:kern w:val="0"/>
          <w:sz w:val="23"/>
          <w:szCs w:val="23"/>
          <w:lang w:eastAsia="fr-BE"/>
          <w14:ligatures w14:val="none"/>
        </w:rPr>
        <w:t>Platinoïdes : 2025, une année record</w:t>
      </w:r>
    </w:p>
    <w:p w14:paraId="6F8C2BEE"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Concernant le </w:t>
      </w:r>
      <w:r w:rsidRPr="008E4B58">
        <w:rPr>
          <w:rFonts w:ascii="Lato" w:eastAsia="Times New Roman" w:hAnsi="Lato" w:cs="Times New Roman"/>
          <w:color w:val="000000"/>
          <w:kern w:val="0"/>
          <w:sz w:val="23"/>
          <w:szCs w:val="23"/>
          <w:u w:val="single"/>
          <w:lang w:eastAsia="fr-BE"/>
          <w14:ligatures w14:val="none"/>
        </w:rPr>
        <w:t>platine</w:t>
      </w:r>
      <w:r w:rsidRPr="008E4B58">
        <w:rPr>
          <w:rFonts w:ascii="Lato" w:eastAsia="Times New Roman" w:hAnsi="Lato" w:cs="Times New Roman"/>
          <w:color w:val="000000"/>
          <w:kern w:val="0"/>
          <w:sz w:val="23"/>
          <w:szCs w:val="23"/>
          <w:lang w:eastAsia="fr-BE"/>
          <w14:ligatures w14:val="none"/>
        </w:rPr>
        <w:t> et le </w:t>
      </w:r>
      <w:r w:rsidRPr="008E4B58">
        <w:rPr>
          <w:rFonts w:ascii="Lato" w:eastAsia="Times New Roman" w:hAnsi="Lato" w:cs="Times New Roman"/>
          <w:color w:val="000000"/>
          <w:kern w:val="0"/>
          <w:sz w:val="23"/>
          <w:szCs w:val="23"/>
          <w:u w:val="single"/>
          <w:lang w:eastAsia="fr-BE"/>
          <w14:ligatures w14:val="none"/>
        </w:rPr>
        <w:t>palladium</w:t>
      </w:r>
      <w:r w:rsidRPr="008E4B58">
        <w:rPr>
          <w:rFonts w:ascii="Lato" w:eastAsia="Times New Roman" w:hAnsi="Lato" w:cs="Times New Roman"/>
          <w:color w:val="000000"/>
          <w:kern w:val="0"/>
          <w:sz w:val="23"/>
          <w:szCs w:val="23"/>
          <w:lang w:eastAsia="fr-BE"/>
          <w14:ligatures w14:val="none"/>
        </w:rPr>
        <w:t>, les analystes ont revu leurs prévisions en nette hausse pour 2026, en raison du déficit de marché, des incertitudes autour des droits de douane, et de l’attrait qu’il présente en tant qu’alternative à l’or. Le </w:t>
      </w:r>
      <w:r w:rsidRPr="008E4B58">
        <w:rPr>
          <w:rFonts w:ascii="Lato" w:eastAsia="Times New Roman" w:hAnsi="Lato" w:cs="Times New Roman"/>
          <w:color w:val="000000"/>
          <w:kern w:val="0"/>
          <w:sz w:val="23"/>
          <w:szCs w:val="23"/>
          <w:u w:val="single"/>
          <w:lang w:eastAsia="fr-BE"/>
          <w14:ligatures w14:val="none"/>
        </w:rPr>
        <w:t>platine</w:t>
      </w:r>
      <w:r w:rsidRPr="008E4B58">
        <w:rPr>
          <w:rFonts w:ascii="Lato" w:eastAsia="Times New Roman" w:hAnsi="Lato" w:cs="Times New Roman"/>
          <w:color w:val="000000"/>
          <w:kern w:val="0"/>
          <w:sz w:val="23"/>
          <w:szCs w:val="23"/>
          <w:lang w:eastAsia="fr-BE"/>
          <w14:ligatures w14:val="none"/>
        </w:rPr>
        <w:t> réalise, pour l’heure, l’une de ses meilleures performances annuelles (+76 %), tandis que le </w:t>
      </w:r>
      <w:r w:rsidRPr="008E4B58">
        <w:rPr>
          <w:rFonts w:ascii="Lato" w:eastAsia="Times New Roman" w:hAnsi="Lato" w:cs="Times New Roman"/>
          <w:color w:val="000000"/>
          <w:kern w:val="0"/>
          <w:sz w:val="23"/>
          <w:szCs w:val="23"/>
          <w:u w:val="single"/>
          <w:lang w:eastAsia="fr-BE"/>
          <w14:ligatures w14:val="none"/>
        </w:rPr>
        <w:t>palladium</w:t>
      </w:r>
      <w:r w:rsidRPr="008E4B58">
        <w:rPr>
          <w:rFonts w:ascii="Lato" w:eastAsia="Times New Roman" w:hAnsi="Lato" w:cs="Times New Roman"/>
          <w:color w:val="000000"/>
          <w:kern w:val="0"/>
          <w:sz w:val="23"/>
          <w:szCs w:val="23"/>
          <w:lang w:eastAsia="fr-BE"/>
          <w14:ligatures w14:val="none"/>
        </w:rPr>
        <w:t> devrait signer sa plus forte progression annuelle depuis 2017 (+56 %). Ils profitent de l’engouement pour l’or.</w:t>
      </w:r>
    </w:p>
    <w:p w14:paraId="6F7E3A3A"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lastRenderedPageBreak/>
        <w:t>Le </w:t>
      </w:r>
      <w:r w:rsidRPr="008E4B58">
        <w:rPr>
          <w:rFonts w:ascii="Lato" w:eastAsia="Times New Roman" w:hAnsi="Lato" w:cs="Times New Roman"/>
          <w:color w:val="000000"/>
          <w:kern w:val="0"/>
          <w:sz w:val="23"/>
          <w:szCs w:val="23"/>
          <w:u w:val="single"/>
          <w:lang w:eastAsia="fr-BE"/>
          <w14:ligatures w14:val="none"/>
        </w:rPr>
        <w:t>platine</w:t>
      </w:r>
      <w:r w:rsidRPr="008E4B58">
        <w:rPr>
          <w:rFonts w:ascii="Lato" w:eastAsia="Times New Roman" w:hAnsi="Lato" w:cs="Times New Roman"/>
          <w:color w:val="000000"/>
          <w:kern w:val="0"/>
          <w:sz w:val="23"/>
          <w:szCs w:val="23"/>
          <w:lang w:eastAsia="fr-BE"/>
          <w14:ligatures w14:val="none"/>
        </w:rPr>
        <w:t> devrait poursuivre sa progression en 2026, porté, en outre, par le lancement d’un contrat à terme en Chine. Les analystes prévoient une moyenne de 1 550 $/once en 2026, une estimation revue à la hausse par rapport à la précédente de 1 272 $/once. Pour 2025, ils anticipent une moyenne de 1 249,50 $/once. Le métal est porté par les craintes autour des droits de douane, bien que les tensions se soient quelque peu dissipées dernièrement.</w:t>
      </w:r>
    </w:p>
    <w:p w14:paraId="588CAB25"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L’inquiétude est plus forte encore pour le </w:t>
      </w:r>
      <w:r w:rsidRPr="008E4B58">
        <w:rPr>
          <w:rFonts w:ascii="Lato" w:eastAsia="Times New Roman" w:hAnsi="Lato" w:cs="Times New Roman"/>
          <w:color w:val="000000"/>
          <w:kern w:val="0"/>
          <w:sz w:val="23"/>
          <w:szCs w:val="23"/>
          <w:u w:val="single"/>
          <w:lang w:eastAsia="fr-BE"/>
          <w14:ligatures w14:val="none"/>
        </w:rPr>
        <w:t>palladium</w:t>
      </w:r>
      <w:r w:rsidRPr="008E4B58">
        <w:rPr>
          <w:rFonts w:ascii="Lato" w:eastAsia="Times New Roman" w:hAnsi="Lato" w:cs="Times New Roman"/>
          <w:color w:val="000000"/>
          <w:kern w:val="0"/>
          <w:sz w:val="23"/>
          <w:szCs w:val="23"/>
          <w:lang w:eastAsia="fr-BE"/>
          <w14:ligatures w14:val="none"/>
        </w:rPr>
        <w:t>, en raison de voix qui s’élèvent aux Etats-Unis pour demander l’instauration de droits de douane sur les importations russes. La Russie est l’un des principaux producteurs de palladium. Les analystes anticipent une moyenne de 1 262,50 $/once pour le métal en 2026, contre 1 100 $/once lors du précédent sondage, et 1 106 $/once cette année. Les cours du palladium s’étaient effondrés durant les quatre précédentes années, à la crainte que l’essor des véhicules électriques allait éroder la demande. « </w:t>
      </w:r>
      <w:r w:rsidRPr="008E4B58">
        <w:rPr>
          <w:rFonts w:ascii="Lato" w:eastAsia="Times New Roman" w:hAnsi="Lato" w:cs="Times New Roman"/>
          <w:i/>
          <w:iCs/>
          <w:color w:val="000000"/>
          <w:kern w:val="0"/>
          <w:sz w:val="23"/>
          <w:szCs w:val="23"/>
          <w:lang w:eastAsia="fr-BE"/>
          <w14:ligatures w14:val="none"/>
        </w:rPr>
        <w:t>Si le secteur des VE connaît une amélioration, la menace d’un retournement de tendance demeure</w:t>
      </w:r>
      <w:r w:rsidRPr="008E4B58">
        <w:rPr>
          <w:rFonts w:ascii="Lato" w:eastAsia="Times New Roman" w:hAnsi="Lato" w:cs="Times New Roman"/>
          <w:color w:val="000000"/>
          <w:kern w:val="0"/>
          <w:sz w:val="23"/>
          <w:szCs w:val="23"/>
          <w:lang w:eastAsia="fr-BE"/>
          <w14:ligatures w14:val="none"/>
        </w:rPr>
        <w:t xml:space="preserve"> », indique </w:t>
      </w:r>
      <w:proofErr w:type="spellStart"/>
      <w:r w:rsidRPr="008E4B58">
        <w:rPr>
          <w:rFonts w:ascii="Lato" w:eastAsia="Times New Roman" w:hAnsi="Lato" w:cs="Times New Roman"/>
          <w:color w:val="000000"/>
          <w:kern w:val="0"/>
          <w:sz w:val="23"/>
          <w:szCs w:val="23"/>
          <w:lang w:eastAsia="fr-BE"/>
          <w14:ligatures w14:val="none"/>
        </w:rPr>
        <w:t>Rhona</w:t>
      </w:r>
      <w:proofErr w:type="spellEnd"/>
      <w:r w:rsidRPr="008E4B58">
        <w:rPr>
          <w:rFonts w:ascii="Lato" w:eastAsia="Times New Roman" w:hAnsi="Lato" w:cs="Times New Roman"/>
          <w:color w:val="000000"/>
          <w:kern w:val="0"/>
          <w:sz w:val="23"/>
          <w:szCs w:val="23"/>
          <w:lang w:eastAsia="fr-BE"/>
          <w14:ligatures w14:val="none"/>
        </w:rPr>
        <w:t xml:space="preserve"> </w:t>
      </w:r>
      <w:proofErr w:type="spellStart"/>
      <w:r w:rsidRPr="008E4B58">
        <w:rPr>
          <w:rFonts w:ascii="Lato" w:eastAsia="Times New Roman" w:hAnsi="Lato" w:cs="Times New Roman"/>
          <w:color w:val="000000"/>
          <w:kern w:val="0"/>
          <w:sz w:val="23"/>
          <w:szCs w:val="23"/>
          <w:lang w:eastAsia="fr-BE"/>
          <w14:ligatures w14:val="none"/>
        </w:rPr>
        <w:t>O’Connell</w:t>
      </w:r>
      <w:proofErr w:type="spellEnd"/>
      <w:r w:rsidRPr="008E4B58">
        <w:rPr>
          <w:rFonts w:ascii="Lato" w:eastAsia="Times New Roman" w:hAnsi="Lato" w:cs="Times New Roman"/>
          <w:color w:val="000000"/>
          <w:kern w:val="0"/>
          <w:sz w:val="23"/>
          <w:szCs w:val="23"/>
          <w:lang w:eastAsia="fr-BE"/>
          <w14:ligatures w14:val="none"/>
        </w:rPr>
        <w:t>.</w:t>
      </w:r>
    </w:p>
    <w:p w14:paraId="278E8FD2" w14:textId="77777777" w:rsidR="008E4B58" w:rsidRPr="008E4B58" w:rsidRDefault="008E4B58" w:rsidP="008E4B5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E4B58">
        <w:rPr>
          <w:rFonts w:ascii="Lato" w:eastAsia="Times New Roman" w:hAnsi="Lato" w:cs="Times New Roman"/>
          <w:color w:val="000000"/>
          <w:kern w:val="0"/>
          <w:sz w:val="23"/>
          <w:szCs w:val="23"/>
          <w:lang w:eastAsia="fr-BE"/>
          <w14:ligatures w14:val="none"/>
        </w:rPr>
        <w:t> </w:t>
      </w:r>
    </w:p>
    <w:p w14:paraId="0E4F7B0A"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58"/>
    <w:rsid w:val="00287462"/>
    <w:rsid w:val="006E7931"/>
    <w:rsid w:val="008E4B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E415"/>
  <w15:chartTrackingRefBased/>
  <w15:docId w15:val="{22DB5B6D-973F-453F-A781-2E735EC8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4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4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4B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4B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4B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4B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4B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4B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4B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4B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4B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4B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4B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4B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4B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4B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4B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4B58"/>
    <w:rPr>
      <w:rFonts w:eastAsiaTheme="majorEastAsia" w:cstheme="majorBidi"/>
      <w:color w:val="272727" w:themeColor="text1" w:themeTint="D8"/>
    </w:rPr>
  </w:style>
  <w:style w:type="paragraph" w:styleId="Titre">
    <w:name w:val="Title"/>
    <w:basedOn w:val="Normal"/>
    <w:next w:val="Normal"/>
    <w:link w:val="TitreCar"/>
    <w:uiPriority w:val="10"/>
    <w:qFormat/>
    <w:rsid w:val="008E4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4B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4B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4B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4B58"/>
    <w:pPr>
      <w:spacing w:before="160"/>
      <w:jc w:val="center"/>
    </w:pPr>
    <w:rPr>
      <w:i/>
      <w:iCs/>
      <w:color w:val="404040" w:themeColor="text1" w:themeTint="BF"/>
    </w:rPr>
  </w:style>
  <w:style w:type="character" w:customStyle="1" w:styleId="CitationCar">
    <w:name w:val="Citation Car"/>
    <w:basedOn w:val="Policepardfaut"/>
    <w:link w:val="Citation"/>
    <w:uiPriority w:val="29"/>
    <w:rsid w:val="008E4B58"/>
    <w:rPr>
      <w:i/>
      <w:iCs/>
      <w:color w:val="404040" w:themeColor="text1" w:themeTint="BF"/>
    </w:rPr>
  </w:style>
  <w:style w:type="paragraph" w:styleId="Paragraphedeliste">
    <w:name w:val="List Paragraph"/>
    <w:basedOn w:val="Normal"/>
    <w:uiPriority w:val="34"/>
    <w:qFormat/>
    <w:rsid w:val="008E4B58"/>
    <w:pPr>
      <w:ind w:left="720"/>
      <w:contextualSpacing/>
    </w:pPr>
  </w:style>
  <w:style w:type="character" w:styleId="Accentuationintense">
    <w:name w:val="Intense Emphasis"/>
    <w:basedOn w:val="Policepardfaut"/>
    <w:uiPriority w:val="21"/>
    <w:qFormat/>
    <w:rsid w:val="008E4B58"/>
    <w:rPr>
      <w:i/>
      <w:iCs/>
      <w:color w:val="0F4761" w:themeColor="accent1" w:themeShade="BF"/>
    </w:rPr>
  </w:style>
  <w:style w:type="paragraph" w:styleId="Citationintense">
    <w:name w:val="Intense Quote"/>
    <w:basedOn w:val="Normal"/>
    <w:next w:val="Normal"/>
    <w:link w:val="CitationintenseCar"/>
    <w:uiPriority w:val="30"/>
    <w:qFormat/>
    <w:rsid w:val="008E4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4B58"/>
    <w:rPr>
      <w:i/>
      <w:iCs/>
      <w:color w:val="0F4761" w:themeColor="accent1" w:themeShade="BF"/>
    </w:rPr>
  </w:style>
  <w:style w:type="character" w:styleId="Rfrenceintense">
    <w:name w:val="Intense Reference"/>
    <w:basedOn w:val="Policepardfaut"/>
    <w:uiPriority w:val="32"/>
    <w:qFormat/>
    <w:rsid w:val="008E4B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3751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2025-11-17T08:10:00Z</dcterms:created>
  <dcterms:modified xsi:type="dcterms:W3CDTF">2025-11-17T08:11:00Z</dcterms:modified>
</cp:coreProperties>
</file>